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r/>
    </w:p>
    <w:p>
      <w:pPr>
        <w:pStyle w:val="611"/>
        <w:jc w:val="right"/>
      </w:pPr>
      <w:r>
        <w:rPr>
          <w:rFonts w:ascii="Times New Roman" w:hAnsi="Times New Roman"/>
          <w:sz w:val="24"/>
          <w:szCs w:val="24"/>
        </w:rPr>
        <w:t xml:space="preserve">Приказом №</w:t>
      </w:r>
      <w:r>
        <w:rPr>
          <w:rFonts w:ascii="Times New Roman" w:hAnsi="Times New Roman" w:cs="Liberation Mono" w:eastAsia="NSimSun"/>
          <w:color w:val="auto"/>
          <w:sz w:val="24"/>
          <w:szCs w:val="24"/>
          <w:lang w:val="ru-RU" w:bidi="hi-IN" w:eastAsia="zh-CN"/>
        </w:rPr>
        <w:t xml:space="preserve">16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</w:t>
      </w:r>
      <w:r>
        <w:rPr>
          <w:rFonts w:ascii="Times New Roman" w:hAnsi="Times New Roman"/>
          <w:sz w:val="24"/>
          <w:szCs w:val="24"/>
        </w:rPr>
        <w:t xml:space="preserve"> 2022 г.</w:t>
      </w:r>
      <w:r/>
    </w:p>
    <w:p>
      <w:pPr>
        <w:pStyle w:val="611"/>
        <w:jc w:val="right"/>
      </w:pPr>
      <w:r>
        <w:rPr>
          <w:rFonts w:ascii="Times New Roman" w:hAnsi="Times New Roman"/>
          <w:sz w:val="24"/>
          <w:szCs w:val="24"/>
        </w:rPr>
        <w:t xml:space="preserve">Директора ООО МКК «</w:t>
      </w:r>
      <w:r>
        <w:rPr>
          <w:rFonts w:ascii="Times New Roman" w:hAnsi="Times New Roman" w:cs="Liberation Mono" w:eastAsia="NSimSun"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sz w:val="24"/>
          <w:szCs w:val="24"/>
        </w:rPr>
        <w:t xml:space="preserve">»</w:t>
      </w:r>
      <w:r/>
    </w:p>
    <w:p>
      <w:pPr>
        <w:pStyle w:val="611"/>
        <w:jc w:val="right"/>
      </w:pPr>
      <w:r>
        <w:rPr>
          <w:rFonts w:ascii="Times New Roman" w:hAnsi="Times New Roman"/>
          <w:sz w:val="24"/>
          <w:szCs w:val="24"/>
        </w:rPr>
        <w:t xml:space="preserve">___________</w:t>
      </w:r>
      <w:r>
        <w:rPr>
          <w:rFonts w:ascii="Times New Roman" w:hAnsi="Times New Roman" w:cs="Liberation Mono" w:eastAsia="NSimSun"/>
          <w:color w:val="auto"/>
          <w:sz w:val="24"/>
          <w:szCs w:val="24"/>
          <w:lang w:val="ru-RU" w:bidi="hi-IN" w:eastAsia="zh-CN"/>
        </w:rPr>
        <w:t xml:space="preserve">О.Н. Агибалова</w:t>
      </w:r>
      <w:r/>
    </w:p>
    <w:p>
      <w:pPr>
        <w:pStyle w:val="6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ПОЛОЖЕНИЕ</w:t>
      </w:r>
      <w:r/>
    </w:p>
    <w:p>
      <w:pPr>
        <w:pStyle w:val="611"/>
        <w:jc w:val="center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 раскрытии неограниченному кругу лиц информации о лицах, оказывающих существенное (прямое или косвенное) влияние на решения, принимаемые органами управления ООО МКК «</w:t>
      </w:r>
      <w:r>
        <w:rPr>
          <w:rFonts w:ascii="Times New Roman" w:hAnsi="Times New Roman" w:cs="Liberation Mono" w:eastAsia="NSimSun"/>
          <w:b/>
          <w:bCs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</w:t>
      </w:r>
      <w:r/>
    </w:p>
    <w:p>
      <w:pPr>
        <w:pStyle w:val="61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</w:pPr>
      <w:r>
        <w:rPr>
          <w:rFonts w:ascii="Times New Roman" w:hAnsi="Times New Roman"/>
          <w:sz w:val="24"/>
          <w:szCs w:val="24"/>
          <w:lang w:val="ru-RU"/>
        </w:rPr>
        <w:t xml:space="preserve">1. Настоящее Положение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о раскрытии неограниченному кругу лиц информации о лицах, оказывающих существенное (прямое или косвенное) влияние на решения, принимаемые органами управления ООО МКК «</w:t>
      </w:r>
      <w:r>
        <w:rPr>
          <w:rFonts w:ascii="Times New Roman" w:hAnsi="Times New Roman" w:cs="Liberation Mono" w:eastAsia="NSimSun"/>
          <w:b w:val="false"/>
          <w:bCs w:val="false"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» (далее по тексту — Положение) разработа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но на основании Федерального закона от 02 июля 2010 года №151-ФЗ «О микрофинансовой деятельности и микрофинансовых организациях» и регулирует состав, порядок и сроки обязательного раскрытия Общества с ограниченной ответственностью Микрокредитная компания «</w:t>
      </w:r>
      <w:r>
        <w:rPr>
          <w:rFonts w:ascii="Times New Roman" w:hAnsi="Times New Roman" w:cs="Liberation Mono" w:eastAsia="NSimSun"/>
          <w:b w:val="false"/>
          <w:bCs w:val="false"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» (далее по тексту — Общество)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неограниченному кругу лиц информации о лицах, оказывающих существенное (прямое или косвенное) влияние на решения, принимаемые органами управления Общества, путем размещения на официальном сайте Общества в информационно-телекоммуникационной сети «Интернет»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(далее по тексту — на сайте Общества).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2. Общество обязано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Общества.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3. Информация, подлежащая раскрытию в соответствии с настоящим Положением должна раскрываться на русском языке.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4. Информация о лицах, оказывающих существенное (прямое или косвенное) влияние на решения, принимаемые органами управления Общества, раскрывается:</w:t>
      </w:r>
      <w:r/>
    </w:p>
    <w:p>
      <w:pPr>
        <w:pStyle w:val="611"/>
        <w:numPr>
          <w:ilvl w:val="0"/>
          <w:numId w:val="1"/>
        </w:numPr>
        <w:jc w:val="both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в форме списка лиц, оказывающих существенное (прямое или косвенное) влияние на решения, принимаемые органами управления Общества, составленный по образцу Приложения №1 к настоящему Положению (далее по тексту — Список);</w:t>
      </w:r>
      <w:r/>
    </w:p>
    <w:p>
      <w:pPr>
        <w:pStyle w:val="611"/>
        <w:numPr>
          <w:ilvl w:val="0"/>
          <w:numId w:val="1"/>
        </w:numPr>
        <w:jc w:val="both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в виде схемы взаимосвязей Общества и лиц, оказывающих существенное (прямое или косвенное) влияние на решен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ия, принимаемые органами управления Общества, с указанием третьих лиц, через которых косвенно оказывается существенное влияние (далее по тексту — Схема). Информация, указанная в Схеме, должна в полном объеме соответствовать информации, включенной в Список.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5. Общество обя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зано опубликовать на сайте Общества Список лиц, оказывающих существенное (прямое или косвенное) влияние на решения, принимаемые органами управления Общества и схему взаимосвязей Общества и лиц, оказывающих существенное (прямое или косвенное) влияние на реш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ения, принимаемые органами управления Общества. В случае внесения изменений в данный Список и Схему, Общество не позднее 10 (десять) рабочих дней от даты внесения соответствующих изменений, обязано опубликовать обновленные Список и Схему на сайте Общества.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6. При опубликовании информации в информацио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нно-телекоммуникационной сети «Интернет», Общество обязано обеспечить свободный доступ к такой информации, а также сообщать по требованию заинтересованных лиц адрес сайта Общества (адреса страниц), на которых осуществляется опубликование данной информации.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7. Общество признается обеспечивающим доступность информации о лицах, оказываю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щих существенное (прямое или косвенное) влияние на решения, принимаемые органами управления Общества, неограниченному кругу лиц, если на сайте Общества в информационно-телекоммуникационной сети «Интернет», размещена следующая информация об указанных лицах:</w:t>
      </w:r>
      <w:r/>
    </w:p>
    <w:p>
      <w:pPr>
        <w:pStyle w:val="611"/>
        <w:numPr>
          <w:ilvl w:val="0"/>
          <w:numId w:val="2"/>
        </w:numPr>
        <w:jc w:val="both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фамилия, имя, отчество (при наличии последнего), гражданство, место жительства (наименование города, населенного пункта) — для физических лиц;</w:t>
      </w:r>
      <w:r/>
    </w:p>
    <w:p>
      <w:pPr>
        <w:pStyle w:val="611"/>
        <w:numPr>
          <w:ilvl w:val="0"/>
          <w:numId w:val="2"/>
        </w:numPr>
        <w:jc w:val="both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полное фирменное наименование и сокращенное фирменное наименование (при наличии); место нахождения (в т.ч. почтовый адрес), основной государствен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— резиденте, зарегистрированном до 01 июля 2002 года) — для юридических лиц.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8. Информация о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лицах, оказывающих существенное (прямое или косвенное) влияние на решения, принимаемые органами управления Общества должна находиться также по месту нахождения Общества, в месте, доступном для обозрения и ознакомления с ними любого заинтересованного лица.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№1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 Положению о раскрытии неограниченному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кругу лиц информации о лицах, оказывающих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существенное (прямое или косвенное) влияние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на решения, принимаемые органами управления</w:t>
      </w:r>
      <w:r/>
    </w:p>
    <w:p>
      <w:pPr>
        <w:pStyle w:val="611"/>
        <w:ind w:left="0" w:right="0" w:firstLine="567"/>
        <w:jc w:val="right"/>
        <w:spacing w:after="0" w:before="0"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ООО МКК «</w:t>
      </w:r>
      <w:r>
        <w:rPr>
          <w:rFonts w:ascii="Times New Roman" w:hAnsi="Times New Roman" w:cs="Liberation Mono" w:eastAsia="NSimSun"/>
          <w:b w:val="false"/>
          <w:bCs w:val="false"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»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0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Список лиц, оказывающих существенное (прямое или косвенное) влияние на решения, принимаемые органами управления МКК. </w:t>
      </w:r>
      <w:r/>
    </w:p>
    <w:p>
      <w:pPr>
        <w:pStyle w:val="603"/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</w:r>
      <w:r/>
    </w:p>
    <w:p>
      <w:pPr>
        <w:pStyle w:val="603"/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  <w:t xml:space="preserve">Наименование 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Общество с ограниченной ответственностью Микрокредитная Компания «</w:t>
      </w:r>
      <w:r>
        <w:rPr>
          <w:rFonts w:ascii="Times New Roman" w:hAnsi="Times New Roman" w:cs="Arial" w:eastAsia="NSimSun"/>
          <w:b w:val="false"/>
          <w:strike w:val="false"/>
          <w:color w:val="000000"/>
          <w:sz w:val="24"/>
          <w:szCs w:val="24"/>
          <w:u w:val="none"/>
          <w:lang w:val="ru-RU" w:bidi="hi-IN" w:eastAsia="zh-CN"/>
        </w:rPr>
        <w:t xml:space="preserve">Номер один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»</w:t>
      </w:r>
      <w:r/>
    </w:p>
    <w:p>
      <w:pPr>
        <w:pStyle w:val="603"/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  <w:t xml:space="preserve">Регистрационный номер МКК </w:t>
      </w:r>
      <w:r>
        <w:rPr>
          <w:rFonts w:ascii="Times New Roman" w:hAnsi="Times New Roman" w:cs="Arial" w:eastAsia="NSimSun"/>
          <w:b w:val="false"/>
          <w:bCs w:val="false"/>
          <w:strike w:val="false"/>
          <w:color w:val="auto"/>
          <w:sz w:val="24"/>
          <w:szCs w:val="24"/>
          <w:u w:val="none"/>
          <w:lang w:val="ru-RU" w:bidi="hi-IN" w:eastAsia="zh-CN"/>
        </w:rPr>
        <w:t xml:space="preserve">2203014009813</w:t>
      </w:r>
      <w:r/>
    </w:p>
    <w:p>
      <w:pPr>
        <w:pStyle w:val="603"/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  <w:t xml:space="preserve">Почтовый адрес МКК </w:t>
      </w:r>
      <w:r>
        <w:rPr>
          <w:rFonts w:ascii="Times New Roman" w:hAnsi="Times New Roman"/>
          <w:b w:val="false"/>
          <w:bCs w:val="false"/>
          <w:strike w:val="false"/>
          <w:color w:val="000000"/>
          <w:sz w:val="24"/>
          <w:szCs w:val="24"/>
          <w:u w:val="none"/>
        </w:rPr>
        <w:t xml:space="preserve">308009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, г. Белгород, </w:t>
      </w:r>
      <w:r>
        <w:rPr>
          <w:rFonts w:ascii="Times New Roman" w:hAnsi="Times New Roman" w:cs="Arial" w:eastAsia="NSimSun"/>
          <w:b w:val="false"/>
          <w:strike w:val="false"/>
          <w:color w:val="000000"/>
          <w:sz w:val="24"/>
          <w:szCs w:val="24"/>
          <w:u w:val="none"/>
          <w:lang w:val="ru-RU" w:bidi="hi-IN" w:eastAsia="zh-CN"/>
        </w:rPr>
        <w:t xml:space="preserve">ул. Кирпичный тупик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, д. 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2А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, офис 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7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 </w:t>
      </w:r>
      <w:r/>
    </w:p>
    <w:p>
      <w:pPr>
        <w:pStyle w:val="603"/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  <w:t xml:space="preserve">ОГРН </w:t>
      </w:r>
      <w:r>
        <w:rPr>
          <w:rFonts w:ascii="Times New Roman" w:hAnsi="Times New Roman"/>
          <w:b w:val="false"/>
          <w:bCs w:val="false"/>
          <w:strike w:val="false"/>
          <w:color w:val="000000"/>
          <w:sz w:val="24"/>
          <w:szCs w:val="24"/>
          <w:u w:val="none"/>
        </w:rPr>
        <w:t xml:space="preserve">1</w:t>
      </w:r>
      <w:r>
        <w:rPr>
          <w:rFonts w:ascii="Times New Roman" w:hAnsi="Times New Roman" w:cs="Arial" w:eastAsia="NSimSun"/>
          <w:b w:val="false"/>
          <w:bCs w:val="false"/>
          <w:strike w:val="false"/>
          <w:color w:val="000000"/>
          <w:sz w:val="24"/>
          <w:szCs w:val="24"/>
          <w:u w:val="none"/>
          <w:lang w:val="ru-RU" w:bidi="hi-IN" w:eastAsia="zh-CN"/>
        </w:rPr>
        <w:t xml:space="preserve">213100016623</w:t>
      </w:r>
      <w:r/>
    </w:p>
    <w:p>
      <w:pPr>
        <w:pStyle w:val="603"/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  <w:t xml:space="preserve">ИНН </w:t>
      </w:r>
      <w:r>
        <w:rPr>
          <w:rFonts w:ascii="Times New Roman" w:hAnsi="Times New Roman"/>
          <w:b w:val="false"/>
          <w:bCs w:val="false"/>
          <w:strike w:val="false"/>
          <w:color w:val="000000"/>
          <w:sz w:val="24"/>
          <w:szCs w:val="24"/>
          <w:u w:val="none"/>
        </w:rPr>
        <w:t xml:space="preserve">3123</w:t>
      </w:r>
      <w:r>
        <w:rPr>
          <w:rFonts w:ascii="Times New Roman" w:hAnsi="Times New Roman" w:cs="Arial" w:eastAsia="NSimSun"/>
          <w:b w:val="false"/>
          <w:bCs w:val="false"/>
          <w:strike w:val="false"/>
          <w:color w:val="000000"/>
          <w:sz w:val="24"/>
          <w:szCs w:val="24"/>
          <w:u w:val="none"/>
          <w:lang w:val="ru-RU" w:bidi="hi-IN" w:eastAsia="zh-CN"/>
        </w:rPr>
        <w:t xml:space="preserve">484621</w:t>
      </w:r>
      <w:r/>
    </w:p>
    <w:p>
      <w:pPr>
        <w:pStyle w:val="603"/>
        <w:rPr>
          <w:sz w:val="24"/>
          <w:szCs w:val="24"/>
        </w:rPr>
      </w:pPr>
      <w:r>
        <w:rPr>
          <w:rFonts w:ascii="Times New Roman" w:hAnsi="Times New Roman"/>
          <w:b/>
          <w:strike w:val="false"/>
          <w:color w:val="000000"/>
          <w:sz w:val="24"/>
          <w:szCs w:val="24"/>
          <w:u w:val="none"/>
        </w:rPr>
        <w:t xml:space="preserve">КПП </w:t>
      </w:r>
      <w:r>
        <w:rPr>
          <w:rFonts w:ascii="Times New Roman" w:hAnsi="Times New Roman"/>
          <w:b w:val="false"/>
          <w:bCs w:val="false"/>
          <w:strike w:val="false"/>
          <w:color w:val="000000"/>
          <w:sz w:val="24"/>
          <w:szCs w:val="24"/>
          <w:u w:val="none"/>
        </w:rPr>
        <w:t xml:space="preserve">312301001</w:t>
      </w:r>
      <w:r>
        <w:rPr>
          <w:rFonts w:ascii="Times New Roman" w:hAnsi="Times New Roman"/>
          <w:b w:val="false"/>
          <w:strike w:val="false"/>
          <w:color w:val="000000"/>
          <w:sz w:val="24"/>
          <w:szCs w:val="24"/>
          <w:u w:val="none"/>
        </w:rPr>
        <w:t xml:space="preserve"> </w:t>
      </w:r>
      <w:r/>
    </w:p>
    <w:tbl>
      <w:tblPr>
        <w:tblW w:w="9690" w:type="dxa"/>
        <w:tblInd w:w="0" w:type="dxa"/>
        <w:tblCellMar>
          <w:left w:w="50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23"/>
        <w:gridCol w:w="1924"/>
        <w:gridCol w:w="1927"/>
        <w:gridCol w:w="4"/>
        <w:gridCol w:w="1920"/>
        <w:gridCol w:w="4"/>
        <w:gridCol w:w="1988"/>
      </w:tblGrid>
      <w:tr>
        <w:trPr/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78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Участники МКК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Лица, оказывающие косвенное (через третьи лица) существенное влияние на решения, принимаемые органами управления МКК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8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Взаимосвязи между участниками МКК и лицами, оказывающими косвенное (через третьи лица) существенное влияние на решения, принимаемые органами управления МКК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3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Полное и сокращенное фирменное наименование юридического лица/Ф.И.О. физического лица/иные данные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7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Принадлежащие участнику доли в уставном капитале МКК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03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3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7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5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3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 w:cs="Arial" w:eastAsia="NSimSun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 w:bidi="hi-IN" w:eastAsia="zh-CN"/>
              </w:rPr>
            </w:pPr>
            <w:r>
              <w:rPr>
                <w:rFonts w:cs="Arial" w:eastAsia="NSimSun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 w:bidi="hi-IN" w:eastAsia="zh-CN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</w:pPr>
            <w:r>
              <w:rPr>
                <w:rFonts w:cs="Arial" w:eastAsia="NSimSun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 w:bidi="hi-IN" w:eastAsia="zh-CN"/>
              </w:rPr>
              <w:t xml:space="preserve">Кузьменко Александр Анатольевич</w:t>
            </w: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, гражданство РФ, проживающий </w:t>
            </w:r>
            <w:r/>
          </w:p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г. Белгород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7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100%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-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</w:rPr>
              <w:t xml:space="preserve">-</w:t>
            </w:r>
            <w:r/>
          </w:p>
        </w:tc>
      </w:tr>
    </w:tbl>
    <w:p>
      <w:pPr>
        <w:pStyle w:val="603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trike w:val="false"/>
          <w:color w:val="000000"/>
          <w:sz w:val="22"/>
          <w:szCs w:val="24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trike w:val="false"/>
          <w:color w:val="000000"/>
          <w:sz w:val="22"/>
          <w:szCs w:val="24"/>
          <w:u w:val="none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Уважаемые клиенты!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Настоящим, в соответствии с п. 5 ч. 2 ст. 9 ФЗ от 02 июля 2010 года №151-ФЗ «О микрофинансовой деятельности и микрофинансовых организациях», доводим до Вашего сведения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информацию о лицах, оказывающих существенное (прямое или косвенное) влияние на решения, принимаемые органами управления ООО МКК «Дайтона Групп»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.</w:t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both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0"/>
        <w:jc w:val="both"/>
        <w:spacing w:after="0" w:before="0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Директор ООО МКК «</w:t>
      </w:r>
      <w:r>
        <w:rPr>
          <w:rFonts w:ascii="Times New Roman" w:hAnsi="Times New Roman" w:cs="Liberation Mono" w:eastAsia="NSimSun"/>
          <w:b/>
          <w:bCs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                                                          </w:t>
      </w:r>
      <w:r>
        <w:rPr>
          <w:rFonts w:ascii="Times New Roman" w:hAnsi="Times New Roman" w:cs="Liberation Mono" w:eastAsia="NSimSun"/>
          <w:b/>
          <w:bCs/>
          <w:color w:val="auto"/>
          <w:sz w:val="24"/>
          <w:szCs w:val="24"/>
          <w:lang w:val="ru-RU" w:bidi="hi-IN" w:eastAsia="zh-CN"/>
        </w:rPr>
        <w:t xml:space="preserve">О.Н. Агибалова</w:t>
      </w:r>
      <w:r/>
    </w:p>
    <w:p>
      <w:pPr>
        <w:pStyle w:val="611"/>
        <w:ind w:left="0" w:right="0" w:firstLine="0"/>
        <w:jc w:val="both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0"/>
        <w:jc w:val="both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right"/>
        <w:spacing w:after="0" w:before="0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№2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 Положению о раскрытии неограниченному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кругу лиц информации о лицах, оказывающих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существенное (прямое или косвенное) влияние</w:t>
      </w:r>
      <w:r/>
    </w:p>
    <w:p>
      <w:pPr>
        <w:pStyle w:val="611"/>
        <w:ind w:left="0" w:right="0" w:firstLine="567"/>
        <w:jc w:val="right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на решения, принимаемые органами управления</w:t>
      </w:r>
      <w:r/>
    </w:p>
    <w:p>
      <w:pPr>
        <w:pStyle w:val="611"/>
        <w:ind w:left="0" w:right="0" w:firstLine="567"/>
        <w:jc w:val="right"/>
        <w:spacing w:after="0" w:before="0"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ООО МКК «</w:t>
      </w:r>
      <w:r>
        <w:rPr>
          <w:rFonts w:ascii="Times New Roman" w:hAnsi="Times New Roman" w:cs="Liberation Mono" w:eastAsia="NSimSun"/>
          <w:b w:val="false"/>
          <w:bCs w:val="false"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»</w:t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СХЕМА</w:t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взаимосвязей Общества и лиц, оказывающих существенное (прямое или косвенное) влияние на решения, принимаемые органами управления Общества</w:t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tbl>
      <w:tblPr>
        <w:tblW w:w="4080" w:type="dxa"/>
        <w:tblInd w:w="3296" w:type="dxa"/>
        <w:tblCellMar>
          <w:left w:w="50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08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pStyle w:val="611"/>
              <w:ind w:left="0" w:right="0" w:firstLine="0"/>
              <w:jc w:val="center"/>
              <w:spacing w:after="0" w:before="0"/>
              <w:rPr>
                <w:rFonts w:ascii="Times New Roman" w:hAnsi="Times New Roman" w:cs="Liberation Mono" w:eastAsia="NSimSun"/>
                <w:b/>
                <w:bCs/>
                <w:color w:val="auto"/>
                <w:sz w:val="24"/>
                <w:szCs w:val="24"/>
                <w:lang w:val="ru-RU" w:bidi="hi-IN" w:eastAsia="zh-CN"/>
              </w:rPr>
            </w:pPr>
            <w:r>
              <w:rPr>
                <w:rFonts w:ascii="Times New Roman" w:hAnsi="Times New Roman" w:cs="Liberation Mono" w:eastAsia="NSimSun"/>
                <w:b/>
                <w:bCs/>
                <w:color w:val="auto"/>
                <w:sz w:val="24"/>
                <w:szCs w:val="24"/>
                <w:lang w:val="ru-RU" w:bidi="hi-IN" w:eastAsia="zh-CN"/>
              </w:rPr>
              <w:t xml:space="preserve">Агибалова Олеся Николаевна</w:t>
            </w:r>
            <w:r/>
          </w:p>
          <w:p>
            <w:pPr>
              <w:pStyle w:val="611"/>
              <w:ind w:left="0" w:right="0" w:firstLine="0"/>
              <w:jc w:val="center"/>
              <w:spacing w:after="0" w:before="0"/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  <w:t xml:space="preserve">Директор</w:t>
            </w:r>
            <w:r/>
          </w:p>
        </w:tc>
      </w:tr>
    </w:tbl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77470</wp:posOffset>
                </wp:positionV>
                <wp:extent cx="111125" cy="460375"/>
                <wp:effectExtent l="0" t="0" r="0" b="0"/>
                <wp:wrapNone/>
                <wp:docPr id="1" name="Фигура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520" cy="45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" h="722" fill="norm" stroke="1" extrusionOk="0">
                              <a:moveTo>
                                <a:pt x="42" y="0"/>
                              </a:moveTo>
                              <a:lnTo>
                                <a:pt x="42" y="540"/>
                              </a:lnTo>
                              <a:lnTo>
                                <a:pt x="0" y="540"/>
                              </a:lnTo>
                              <a:lnTo>
                                <a:pt x="85" y="721"/>
                              </a:lnTo>
                              <a:lnTo>
                                <a:pt x="171" y="540"/>
                              </a:lnTo>
                              <a:lnTo>
                                <a:pt x="128" y="540"/>
                              </a:lnTo>
                              <a:lnTo>
                                <a:pt x="128" y="0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0.0pt;mso-wrap-distance-top:0.0pt;mso-wrap-distance-right:0.0pt;mso-wrap-distance-bottom:0.0pt;z-index:2;o:allowoverlap:true;o:allowincell:true;mso-position-horizontal-relative:text;margin-left:259.7pt;mso-position-horizontal:absolute;mso-position-vertical-relative:text;margin-top:6.1pt;mso-position-vertical:absolute;width:8.8pt;height:36.2pt;" coordsize="100000,100000" path="m24418,0l24418,74792l0,74792l49415,99861l99417,74792l74411,74792l74411,0l24418,0e" fillcolor="#729FCF" strokecolor="#3465A4">
                <v:path textboxrect="0,0,99994,100000"/>
              </v:shape>
            </w:pict>
          </mc:Fallback>
        </mc:AlternateContent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tbl>
      <w:tblPr>
        <w:tblW w:w="4900" w:type="dxa"/>
        <w:tblInd w:w="2876" w:type="dxa"/>
        <w:tblCellMar>
          <w:left w:w="50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90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00" w:type="dxa"/>
            <w:textDirection w:val="lrTb"/>
            <w:noWrap w:val="false"/>
          </w:tcPr>
          <w:p>
            <w:pPr>
              <w:pStyle w:val="611"/>
              <w:ind w:left="0" w:right="0" w:firstLine="0"/>
              <w:jc w:val="center"/>
              <w:spacing w:after="0" w:befor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/>
          </w:p>
          <w:p>
            <w:pPr>
              <w:pStyle w:val="611"/>
              <w:ind w:left="0" w:right="0" w:firstLine="0"/>
              <w:jc w:val="center"/>
              <w:spacing w:after="0" w:before="0"/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  <w:t xml:space="preserve">Микрокредитная компания </w:t>
            </w:r>
            <w:r/>
          </w:p>
          <w:p>
            <w:pPr>
              <w:pStyle w:val="611"/>
              <w:ind w:left="0" w:right="0" w:firstLine="0"/>
              <w:jc w:val="center"/>
              <w:spacing w:after="0" w:before="0"/>
            </w:pP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  <w:t xml:space="preserve">«</w:t>
            </w: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 w:bidi="hi-IN" w:eastAsia="zh-CN"/>
              </w:rPr>
              <w:t xml:space="preserve">Номер один</w:t>
            </w: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  <w:t xml:space="preserve">»</w:t>
            </w:r>
            <w:r/>
          </w:p>
        </w:tc>
      </w:tr>
    </w:tbl>
    <w:p>
      <w:pPr>
        <w:pStyle w:val="611"/>
        <w:ind w:left="0" w:right="0" w:firstLine="0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3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129540</wp:posOffset>
                </wp:positionV>
                <wp:extent cx="130175" cy="498475"/>
                <wp:effectExtent l="0" t="0" r="0" b="0"/>
                <wp:wrapNone/>
                <wp:docPr id="2" name="Фигура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600" cy="49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" h="782" fill="norm" stroke="1" extrusionOk="0">
                              <a:moveTo>
                                <a:pt x="50" y="781"/>
                              </a:moveTo>
                              <a:lnTo>
                                <a:pt x="50" y="195"/>
                              </a:lnTo>
                              <a:lnTo>
                                <a:pt x="0" y="195"/>
                              </a:lnTo>
                              <a:lnTo>
                                <a:pt x="100" y="0"/>
                              </a:lnTo>
                              <a:lnTo>
                                <a:pt x="200" y="195"/>
                              </a:lnTo>
                              <a:lnTo>
                                <a:pt x="150" y="195"/>
                              </a:lnTo>
                              <a:lnTo>
                                <a:pt x="150" y="781"/>
                              </a:lnTo>
                              <a:lnTo>
                                <a:pt x="50" y="781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3;o:allowoverlap:true;o:allowincell:true;mso-position-horizontal-relative:text;margin-left:190.7pt;mso-position-horizontal:absolute;mso-position-vertical-relative:text;margin-top:10.2pt;mso-position-vertical:absolute;width:10.2pt;height:39.2pt;" coordsize="100000,100000" path="m24873,99870l24873,24935l0,24935l49746,0l99501,24935l74619,24935l74619,99870l24873,99870e" fillcolor="#729FCF" strokecolor="#3465A4">
                <v:path textboxrect="0,0,99998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142240</wp:posOffset>
                </wp:positionV>
                <wp:extent cx="123825" cy="530225"/>
                <wp:effectExtent l="0" t="0" r="0" b="0"/>
                <wp:wrapNone/>
                <wp:docPr id="3" name="Фигура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120" cy="529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" h="832" fill="norm" stroke="1" extrusionOk="0">
                              <a:moveTo>
                                <a:pt x="47" y="831"/>
                              </a:moveTo>
                              <a:lnTo>
                                <a:pt x="47" y="207"/>
                              </a:lnTo>
                              <a:lnTo>
                                <a:pt x="0" y="207"/>
                              </a:lnTo>
                              <a:lnTo>
                                <a:pt x="95" y="0"/>
                              </a:lnTo>
                              <a:lnTo>
                                <a:pt x="191" y="207"/>
                              </a:lnTo>
                              <a:lnTo>
                                <a:pt x="143" y="207"/>
                              </a:lnTo>
                              <a:lnTo>
                                <a:pt x="143" y="831"/>
                              </a:lnTo>
                              <a:lnTo>
                                <a:pt x="47" y="831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4;o:allowoverlap:true;o:allowincell:true;mso-position-horizontal-relative:text;margin-left:321.7pt;mso-position-horizontal:absolute;mso-position-vertical-relative:text;margin-top:11.2pt;mso-position-vertical:absolute;width:9.8pt;height:41.8pt;" coordsize="100000,100000" path="m24473,99880l24473,24880l0,24880l49473,0l99475,24880l74474,24880l74474,99880l24473,99880e" fillcolor="#729FCF" strokecolor="#3465A4">
                <v:path textboxrect="0,0,99992,100000"/>
              </v:shape>
            </w:pict>
          </mc:Fallback>
        </mc:AlternateContent>
      </w:r>
      <w:r/>
    </w:p>
    <w:p>
      <w:pPr>
        <w:pStyle w:val="611"/>
        <w:ind w:left="0" w:right="0" w:firstLine="0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0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tbl>
      <w:tblPr>
        <w:tblW w:w="7960" w:type="dxa"/>
        <w:tblInd w:w="1396" w:type="dxa"/>
        <w:tblCellMar>
          <w:left w:w="50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796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60" w:type="dxa"/>
            <w:textDirection w:val="lrTb"/>
            <w:noWrap w:val="false"/>
          </w:tcPr>
          <w:p>
            <w:pPr>
              <w:pStyle w:val="611"/>
              <w:ind w:left="0" w:right="0" w:firstLine="0"/>
              <w:jc w:val="center"/>
              <w:spacing w:after="0" w:before="0"/>
            </w:pP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 w:bidi="hi-IN" w:eastAsia="zh-CN"/>
              </w:rPr>
              <w:t xml:space="preserve">Кузьменко Александр Анатольевич</w:t>
            </w:r>
            <w:r>
              <w:rPr>
                <w:rFonts w:ascii="Times New Roman" w:hAnsi="Times New Roman" w:cs="Liberation Mono" w:eastAsia="NSimSun"/>
                <w:b/>
                <w:bCs/>
                <w:i w:val="false"/>
                <w:iCs w:val="false"/>
                <w:strike w:val="false"/>
                <w:color w:val="000000"/>
                <w:sz w:val="24"/>
                <w:szCs w:val="24"/>
                <w:u w:val="none"/>
                <w:lang w:val="ru-RU"/>
              </w:rPr>
              <w:t xml:space="preserve"> 100%</w:t>
            </w:r>
            <w:r/>
          </w:p>
        </w:tc>
      </w:tr>
    </w:tbl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left"/>
        <w:spacing w:after="0" w:befor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</w:t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567"/>
        <w:jc w:val="center"/>
        <w:spacing w:after="0" w:before="0"/>
        <w:rPr>
          <w:rFonts w:ascii="Times New Roman" w:hAnsi="Times New Roman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  <w:r/>
    </w:p>
    <w:p>
      <w:pPr>
        <w:pStyle w:val="611"/>
        <w:ind w:left="0" w:right="0" w:firstLine="0"/>
        <w:jc w:val="both"/>
        <w:spacing w:after="0" w:before="0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Директор ООО МКК «</w:t>
      </w:r>
      <w:r>
        <w:rPr>
          <w:rFonts w:ascii="Times New Roman" w:hAnsi="Times New Roman" w:cs="Liberation Mono" w:eastAsia="NSimSun"/>
          <w:b/>
          <w:bCs/>
          <w:color w:val="auto"/>
          <w:sz w:val="24"/>
          <w:szCs w:val="24"/>
          <w:lang w:val="ru-RU" w:bidi="hi-IN" w:eastAsia="zh-CN"/>
        </w:rPr>
        <w:t xml:space="preserve">Номер один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                                                             </w:t>
      </w:r>
      <w:r>
        <w:rPr>
          <w:rFonts w:ascii="Times New Roman" w:hAnsi="Times New Roman" w:cs="Liberation Mono" w:eastAsia="NSimSun"/>
          <w:b/>
          <w:bCs/>
          <w:color w:val="auto"/>
          <w:sz w:val="24"/>
          <w:szCs w:val="24"/>
          <w:lang w:val="ru-RU" w:bidi="hi-IN" w:eastAsia="zh-CN"/>
        </w:rPr>
        <w:t xml:space="preserve">О.Н. Агибалова</w:t>
      </w:r>
      <w:r/>
    </w:p>
    <w:sectPr>
      <w:footnotePr/>
      <w:endnotePr/>
      <w:type w:val="nextPage"/>
      <w:pgSz w:w="11906" w:h="16838" w:orient="portrait"/>
      <w:pgMar w:top="567" w:right="1134" w:bottom="567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panose1 w:val="02070409020205020404"/>
  </w:font>
  <w:font w:name="Times New Roman">
    <w:panose1 w:val="02020603050405020304"/>
  </w:font>
  <w:font w:name="Microsoft YaHei">
    <w:panose1 w:val="020F0502020204030204"/>
  </w:font>
  <w:font w:name="Liberation Sans">
    <w:panose1 w:val="020B0604020202020204"/>
  </w:font>
  <w:font w:name="OpenSymbol">
    <w:panose1 w:val="05010000000000000000"/>
  </w:font>
  <w:font w:name="NSimSun">
    <w:panose1 w:val="0202060302010102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OpenSymbol"/>
        <w:b w:val="false"/>
        <w:sz w:val="24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cs="Open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  <w:tabs>
          <w:tab w:val="num" w:pos="780" w:leader="none"/>
        </w:tabs>
      </w:pPr>
      <w:rPr>
        <w:rFonts w:cs="OpenSymbol"/>
        <w:b w:val="false"/>
        <w:sz w:val="24"/>
      </w:rPr>
    </w:lvl>
    <w:lvl w:ilvl="1">
      <w:start w:val="1"/>
      <w:numFmt w:val="bullet"/>
      <w:isLgl w:val="false"/>
      <w:suff w:val="tab"/>
      <w:lvlText w:val="◦"/>
      <w:lvlJc w:val="left"/>
      <w:pPr>
        <w:ind w:left="1140" w:hanging="360"/>
        <w:tabs>
          <w:tab w:val="num" w:pos="1140" w:leader="none"/>
        </w:tabs>
      </w:pPr>
      <w:rPr>
        <w:rFonts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500" w:hanging="360"/>
        <w:tabs>
          <w:tab w:val="num" w:pos="1500" w:leader="none"/>
        </w:tabs>
      </w:pPr>
      <w:rPr>
        <w:rFonts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60" w:hanging="360"/>
        <w:tabs>
          <w:tab w:val="num" w:pos="1860" w:leader="none"/>
        </w:tabs>
      </w:pPr>
      <w:rPr>
        <w:rFonts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220" w:hanging="360"/>
        <w:tabs>
          <w:tab w:val="num" w:pos="2220" w:leader="none"/>
        </w:tabs>
      </w:pPr>
      <w:rPr>
        <w:rFonts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80" w:hanging="360"/>
        <w:tabs>
          <w:tab w:val="num" w:pos="2580" w:leader="none"/>
        </w:tabs>
      </w:pPr>
      <w:rPr>
        <w:rFonts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300" w:hanging="360"/>
        <w:tabs>
          <w:tab w:val="num" w:pos="3300" w:leader="none"/>
        </w:tabs>
      </w:pPr>
      <w:rPr>
        <w:rFonts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60" w:hanging="360"/>
        <w:tabs>
          <w:tab w:val="num" w:pos="3660" w:leader="none"/>
        </w:tabs>
      </w:pPr>
      <w:rPr>
        <w:rFonts w:cs="OpenSymbol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3"/>
    <w:next w:val="6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3"/>
    <w:next w:val="60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14"/>
    <w:uiPriority w:val="99"/>
  </w:style>
  <w:style w:type="character" w:styleId="43">
    <w:name w:val="Footer Char"/>
    <w:basedOn w:val="9"/>
    <w:link w:val="615"/>
    <w:uiPriority w:val="99"/>
  </w:style>
  <w:style w:type="character" w:styleId="45">
    <w:name w:val="Caption Char"/>
    <w:basedOn w:val="609"/>
    <w:link w:val="615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rPr>
      <w:rFonts w:ascii="Liberation Serif" w:hAnsi="Liberation Serif" w:cs="Arial" w:eastAsia="NSimSun"/>
      <w:color w:val="auto"/>
      <w:sz w:val="24"/>
      <w:szCs w:val="24"/>
      <w:lang w:val="ru-RU" w:bidi="hi-IN" w:eastAsia="zh-CN"/>
    </w:rPr>
    <w:pPr>
      <w:jc w:val="left"/>
      <w:widowControl w:val="off"/>
    </w:pPr>
  </w:style>
  <w:style w:type="character" w:styleId="604">
    <w:name w:val="Интернет-ссылка"/>
    <w:rPr>
      <w:color w:val="000080"/>
      <w:u w:val="single"/>
    </w:rPr>
  </w:style>
  <w:style w:type="character" w:styleId="605">
    <w:name w:val="Маркеры списка"/>
    <w:qFormat/>
    <w:rPr>
      <w:rFonts w:ascii="OpenSymbol" w:hAnsi="OpenSymbol" w:cs="OpenSymbol" w:eastAsia="OpenSymbol"/>
    </w:rPr>
  </w:style>
  <w:style w:type="paragraph" w:styleId="606">
    <w:name w:val="Заголовок"/>
    <w:basedOn w:val="603"/>
    <w:next w:val="60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607">
    <w:name w:val="Body Text"/>
    <w:basedOn w:val="603"/>
    <w:pPr>
      <w:spacing w:lineRule="auto" w:line="276" w:after="140" w:before="0"/>
    </w:pPr>
  </w:style>
  <w:style w:type="paragraph" w:styleId="608">
    <w:name w:val="List"/>
    <w:basedOn w:val="607"/>
    <w:rPr>
      <w:rFonts w:cs="Arial"/>
    </w:rPr>
  </w:style>
  <w:style w:type="paragraph" w:styleId="609">
    <w:name w:val="Caption"/>
    <w:basedOn w:val="603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610">
    <w:name w:val="Указатель"/>
    <w:basedOn w:val="603"/>
    <w:qFormat/>
    <w:rPr>
      <w:rFonts w:cs="Arial"/>
    </w:rPr>
    <w:pPr>
      <w:suppressLineNumbers/>
    </w:pPr>
  </w:style>
  <w:style w:type="paragraph" w:styleId="611">
    <w:name w:val="Текст в заданном формате"/>
    <w:basedOn w:val="603"/>
    <w:qFormat/>
    <w:rPr>
      <w:rFonts w:ascii="Liberation Mono" w:hAnsi="Liberation Mono" w:cs="Liberation Mono" w:eastAsia="NSimSun"/>
      <w:sz w:val="20"/>
      <w:szCs w:val="20"/>
    </w:rPr>
    <w:pPr>
      <w:spacing w:after="0" w:before="0"/>
    </w:pPr>
  </w:style>
  <w:style w:type="paragraph" w:styleId="612">
    <w:name w:val="Содержимое таблицы"/>
    <w:basedOn w:val="603"/>
    <w:qFormat/>
    <w:pPr>
      <w:suppressLineNumbers/>
    </w:pPr>
  </w:style>
  <w:style w:type="paragraph" w:styleId="613">
    <w:name w:val="Верхний и нижний колонтитулы"/>
    <w:basedOn w:val="603"/>
    <w:qFormat/>
  </w:style>
  <w:style w:type="paragraph" w:styleId="614">
    <w:name w:val="Header"/>
    <w:basedOn w:val="603"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15">
    <w:name w:val="Footer"/>
    <w:basedOn w:val="603"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character" w:styleId="1418" w:default="1">
    <w:name w:val="Default Paragraph Font"/>
    <w:uiPriority w:val="1"/>
    <w:semiHidden/>
    <w:unhideWhenUsed/>
  </w:style>
  <w:style w:type="numbering" w:styleId="1419" w:default="1">
    <w:name w:val="No List"/>
    <w:uiPriority w:val="99"/>
    <w:semiHidden/>
    <w:unhideWhenUsed/>
  </w:style>
  <w:style w:type="table" w:styleId="14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Петр Пидмаливский</cp:lastModifiedBy>
  <cp:revision>12</cp:revision>
  <dcterms:modified xsi:type="dcterms:W3CDTF">2022-04-19T08:30:44Z</dcterms:modified>
</cp:coreProperties>
</file>